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Toc3438"/>
    </w:p>
    <w:p>
      <w:pPr>
        <w:pStyle w:val="9"/>
        <w:rPr>
          <w:rFonts w:ascii="Times New Roman" w:hAnsi="Times New Roman" w:eastAsia="宋体"/>
          <w:b/>
          <w:color w:val="auto"/>
          <w:sz w:val="48"/>
          <w:szCs w:val="48"/>
          <w:highlight w:val="none"/>
        </w:rPr>
      </w:pPr>
    </w:p>
    <w:p>
      <w:pPr>
        <w:rPr>
          <w:rFonts w:ascii="Times New Roman" w:hAnsi="Times New Roman" w:eastAsia="宋体"/>
          <w:b/>
          <w:color w:val="auto"/>
          <w:sz w:val="48"/>
          <w:szCs w:val="48"/>
          <w:highlight w:val="none"/>
        </w:rPr>
      </w:pPr>
    </w:p>
    <w:p>
      <w:pPr>
        <w:pStyle w:val="9"/>
        <w:rPr>
          <w:rFonts w:ascii="Times New Roman" w:hAnsi="Times New Roman" w:eastAsia="宋体"/>
          <w:b/>
          <w:color w:val="auto"/>
          <w:sz w:val="48"/>
          <w:szCs w:val="48"/>
          <w:highlight w:val="none"/>
        </w:rPr>
      </w:pPr>
    </w:p>
    <w:p>
      <w:pPr>
        <w:rPr>
          <w:rFonts w:ascii="Times New Roman" w:hAnsi="Times New Roman" w:eastAsia="宋体"/>
          <w:b/>
          <w:color w:val="auto"/>
          <w:sz w:val="48"/>
          <w:szCs w:val="48"/>
          <w:highlight w:val="none"/>
        </w:rPr>
      </w:pPr>
    </w:p>
    <w:p>
      <w:pPr>
        <w:pStyle w:val="9"/>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eastAsia="仿宋_GB2312"/>
          <w:b/>
          <w:color w:val="auto"/>
          <w:sz w:val="48"/>
          <w:szCs w:val="48"/>
          <w:highlight w:val="none"/>
        </w:rPr>
      </w:pPr>
      <w:r>
        <w:rPr>
          <w:rFonts w:ascii="Times New Roman" w:hAnsi="Times New Roman" w:eastAsia="宋体"/>
          <w:b/>
          <w:color w:val="auto"/>
          <w:sz w:val="48"/>
          <w:szCs w:val="48"/>
          <w:highlight w:val="none"/>
        </w:rPr>
        <w:t>第</w:t>
      </w:r>
      <w:r>
        <w:rPr>
          <w:rFonts w:hint="eastAsia" w:ascii="Times New Roman" w:hAnsi="Times New Roman" w:eastAsia="宋体"/>
          <w:b/>
          <w:color w:val="auto"/>
          <w:sz w:val="48"/>
          <w:szCs w:val="48"/>
          <w:highlight w:val="none"/>
        </w:rPr>
        <w:t>三</w:t>
      </w:r>
      <w:r>
        <w:rPr>
          <w:rFonts w:ascii="Times New Roman" w:hAnsi="Times New Roman" w:eastAsia="宋体"/>
          <w:b/>
          <w:color w:val="auto"/>
          <w:sz w:val="48"/>
          <w:szCs w:val="48"/>
          <w:highlight w:val="none"/>
        </w:rPr>
        <w:t>部分</w:t>
      </w:r>
    </w:p>
    <w:p>
      <w:pPr>
        <w:jc w:val="center"/>
        <w:rPr>
          <w:rFonts w:ascii="Times New Roman" w:hAnsi="Times New Roman" w:eastAsia="黑体"/>
          <w:b/>
          <w:bCs/>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b/>
          <w:color w:val="auto"/>
          <w:sz w:val="48"/>
          <w:szCs w:val="48"/>
          <w:highlight w:val="none"/>
        </w:rPr>
      </w:pPr>
      <w:r>
        <w:rPr>
          <w:rFonts w:hint="eastAsia" w:ascii="Times New Roman" w:hAnsi="Times New Roman" w:eastAsia="宋体"/>
          <w:b/>
          <w:color w:val="auto"/>
          <w:sz w:val="48"/>
          <w:szCs w:val="48"/>
          <w:highlight w:val="none"/>
        </w:rPr>
        <w:t>其他需要说明的事项</w:t>
      </w:r>
    </w:p>
    <w:p>
      <w:pPr>
        <w:jc w:val="center"/>
        <w:rPr>
          <w:color w:val="auto"/>
          <w:sz w:val="32"/>
          <w:highlight w:val="none"/>
        </w:rPr>
      </w:pPr>
    </w:p>
    <w:p>
      <w:pPr>
        <w:jc w:val="center"/>
        <w:rPr>
          <w:rFonts w:ascii="Times New Roman" w:hAnsi="Times New Roman"/>
          <w:color w:val="auto"/>
          <w:sz w:val="32"/>
          <w:highlight w:val="none"/>
        </w:rPr>
      </w:pPr>
    </w:p>
    <w:p>
      <w:pPr>
        <w:jc w:val="center"/>
        <w:rPr>
          <w:rFonts w:ascii="Times New Roman" w:hAnsi="Times New Roman"/>
          <w:color w:val="auto"/>
          <w:sz w:val="32"/>
          <w:highlight w:val="none"/>
        </w:rPr>
      </w:pPr>
    </w:p>
    <w:p>
      <w:pPr>
        <w:jc w:val="center"/>
        <w:rPr>
          <w:rFonts w:ascii="Times New Roman" w:hAnsi="Times New Roman"/>
          <w:color w:val="auto"/>
          <w:sz w:val="32"/>
          <w:highlight w:val="none"/>
        </w:rPr>
      </w:pPr>
    </w:p>
    <w:p>
      <w:pPr>
        <w:jc w:val="center"/>
        <w:rPr>
          <w:rFonts w:ascii="Times New Roman" w:hAnsi="Times New Roman"/>
          <w:color w:val="auto"/>
          <w:sz w:val="32"/>
          <w:highlight w:val="none"/>
        </w:rPr>
      </w:pPr>
    </w:p>
    <w:p>
      <w:pPr>
        <w:pStyle w:val="6"/>
        <w:rPr>
          <w:rFonts w:ascii="Times New Roman" w:hAnsi="Times New Roman"/>
          <w:color w:val="auto"/>
          <w:sz w:val="32"/>
          <w:highlight w:val="none"/>
        </w:rPr>
      </w:pPr>
    </w:p>
    <w:p>
      <w:pPr>
        <w:pStyle w:val="6"/>
        <w:rPr>
          <w:rFonts w:ascii="Times New Roman" w:hAnsi="Times New Roman"/>
          <w:color w:val="auto"/>
          <w:sz w:val="32"/>
          <w:highlight w:val="none"/>
        </w:rPr>
      </w:pPr>
    </w:p>
    <w:p>
      <w:pPr>
        <w:ind w:right="206" w:rightChars="86"/>
        <w:rPr>
          <w:rFonts w:ascii="Times New Roman" w:hAnsi="Times New Roman" w:eastAsia="仿宋_GB2312"/>
          <w:b/>
          <w:bCs/>
          <w:color w:val="auto"/>
          <w:sz w:val="32"/>
          <w:szCs w:val="32"/>
          <w:highlight w:val="none"/>
        </w:rPr>
      </w:pPr>
    </w:p>
    <w:p>
      <w:pPr>
        <w:pStyle w:val="2"/>
        <w:ind w:left="440" w:firstLine="0" w:firstLineChars="0"/>
        <w:jc w:val="center"/>
        <w:rPr>
          <w:rFonts w:eastAsia="仿宋_GB2312"/>
          <w:b/>
          <w:bCs/>
          <w:color w:val="auto"/>
          <w:kern w:val="2"/>
          <w:sz w:val="28"/>
          <w:szCs w:val="28"/>
          <w:highlight w:val="none"/>
        </w:rPr>
      </w:pPr>
    </w:p>
    <w:p>
      <w:pPr>
        <w:pStyle w:val="2"/>
        <w:ind w:left="0" w:leftChars="0" w:firstLine="0" w:firstLineChars="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br w:type="textWrapping"/>
      </w:r>
    </w:p>
    <w:p>
      <w:pPr>
        <w:pStyle w:val="13"/>
        <w:numPr>
          <w:ilvl w:val="0"/>
          <w:numId w:val="0"/>
        </w:numPr>
        <w:bidi w:val="0"/>
        <w:rPr>
          <w:rFonts w:hint="default" w:ascii="Times New Roman" w:hAnsi="Times New Roman" w:eastAsia="仿宋_GB2312" w:cs="Times New Roman"/>
          <w:color w:val="auto"/>
          <w:sz w:val="32"/>
          <w:szCs w:val="32"/>
          <w:highlight w:val="none"/>
        </w:rPr>
      </w:pPr>
    </w:p>
    <w:p>
      <w:pPr>
        <w:pStyle w:val="13"/>
        <w:numPr>
          <w:ilvl w:val="0"/>
          <w:numId w:val="0"/>
        </w:numPr>
        <w:bidi w:val="0"/>
        <w:rPr>
          <w:rFonts w:hint="default" w:ascii="Times New Roman" w:hAnsi="Times New Roman" w:eastAsia="仿宋_GB2312" w:cs="Times New Roman"/>
          <w:color w:val="auto"/>
          <w:sz w:val="32"/>
          <w:szCs w:val="32"/>
          <w:highlight w:val="none"/>
        </w:rPr>
      </w:pPr>
    </w:p>
    <w:p>
      <w:pPr>
        <w:pStyle w:val="13"/>
        <w:numPr>
          <w:ilvl w:val="0"/>
          <w:numId w:val="0"/>
        </w:numPr>
        <w:bidi w:val="0"/>
        <w:rPr>
          <w:rFonts w:hint="default" w:ascii="Times New Roman" w:hAnsi="Times New Roman" w:eastAsia="仿宋_GB2312" w:cs="Times New Roman"/>
          <w:color w:val="auto"/>
          <w:sz w:val="32"/>
          <w:szCs w:val="32"/>
          <w:highlight w:val="none"/>
        </w:rPr>
      </w:pPr>
    </w:p>
    <w:p>
      <w:pPr>
        <w:pStyle w:val="13"/>
        <w:numPr>
          <w:ilvl w:val="0"/>
          <w:numId w:val="0"/>
        </w:numPr>
        <w:bidi w:val="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其他需要说明的事项</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宋体" w:hAnsi="宋体" w:cs="宋体"/>
          <w:b/>
          <w:bCs/>
          <w:color w:val="auto"/>
          <w:sz w:val="24"/>
          <w:szCs w:val="24"/>
          <w:highlight w:val="none"/>
          <w:lang w:val="en-US" w:eastAsia="zh-CN"/>
        </w:rPr>
      </w:pPr>
      <w:r>
        <w:rPr>
          <w:rFonts w:hint="default"/>
          <w:color w:val="auto"/>
          <w:highlight w:val="none"/>
          <w:lang w:eastAsia="zh-CN"/>
        </w:rPr>
        <w:t>鞍钢股份</w:t>
      </w:r>
      <w:r>
        <w:rPr>
          <w:rFonts w:hint="eastAsia"/>
          <w:color w:val="auto"/>
          <w:highlight w:val="none"/>
          <w:lang w:val="en-US" w:eastAsia="zh-CN"/>
        </w:rPr>
        <w:t>有限</w:t>
      </w:r>
      <w:r>
        <w:rPr>
          <w:rFonts w:hint="default"/>
          <w:color w:val="auto"/>
          <w:highlight w:val="none"/>
          <w:lang w:val="en-US" w:eastAsia="zh-CN"/>
        </w:rPr>
        <w:t>公司根据《建设项目竣工环境保护验收报告暂行办法》（国环规环评〔2017〕4号）严格按照国家有关法律法规、《建设项目竣工环境保护验收技术规范》（污染影响类）、本项目环境影响评价报告表</w:t>
      </w:r>
      <w:r>
        <w:rPr>
          <w:rFonts w:hint="eastAsia"/>
          <w:color w:val="auto"/>
          <w:highlight w:val="none"/>
          <w:lang w:val="en-US" w:eastAsia="zh-CN"/>
        </w:rPr>
        <w:t>及批复</w:t>
      </w:r>
      <w:r>
        <w:rPr>
          <w:rFonts w:hint="default"/>
          <w:color w:val="auto"/>
          <w:highlight w:val="none"/>
          <w:lang w:val="en-US" w:eastAsia="zh-CN"/>
        </w:rPr>
        <w:t>等要求，结合本项目实际情况</w:t>
      </w:r>
      <w:r>
        <w:rPr>
          <w:rFonts w:hint="eastAsia"/>
          <w:color w:val="auto"/>
          <w:highlight w:val="none"/>
          <w:lang w:val="en-US" w:eastAsia="zh-CN"/>
        </w:rPr>
        <w:t>，</w:t>
      </w:r>
      <w:r>
        <w:rPr>
          <w:rFonts w:hint="default"/>
          <w:color w:val="auto"/>
          <w:highlight w:val="none"/>
          <w:lang w:val="en-US" w:eastAsia="zh-CN"/>
        </w:rPr>
        <w:t>现将我公司其他需要说明的事项说明如下：</w:t>
      </w:r>
    </w:p>
    <w:p>
      <w:pPr>
        <w:pStyle w:val="18"/>
        <w:bidi w:val="0"/>
        <w:rPr>
          <w:rFonts w:hint="eastAsia"/>
          <w:color w:val="auto"/>
          <w:highlight w:val="none"/>
          <w:lang w:val="en-US" w:eastAsia="zh-CN"/>
        </w:rPr>
      </w:pPr>
      <w:bookmarkStart w:id="1" w:name="_Toc25610"/>
      <w:bookmarkStart w:id="2" w:name="_Toc24118"/>
      <w:r>
        <w:rPr>
          <w:rFonts w:hint="eastAsia"/>
          <w:color w:val="auto"/>
          <w:highlight w:val="none"/>
          <w:lang w:val="en-US" w:eastAsia="zh-CN"/>
        </w:rPr>
        <w:t>一、</w:t>
      </w:r>
      <w:r>
        <w:rPr>
          <w:rFonts w:hint="eastAsia"/>
          <w:color w:val="auto"/>
          <w:highlight w:val="none"/>
        </w:rPr>
        <w:t>环境保护设施设计、施工和验收过程简况</w:t>
      </w:r>
      <w:bookmarkEnd w:id="1"/>
      <w:bookmarkEnd w:id="2"/>
    </w:p>
    <w:p>
      <w:pPr>
        <w:pStyle w:val="15"/>
        <w:bidi w:val="0"/>
        <w:rPr>
          <w:color w:val="auto"/>
          <w:highlight w:val="none"/>
        </w:rPr>
      </w:pPr>
      <w:r>
        <w:rPr>
          <w:rFonts w:hint="eastAsia"/>
          <w:color w:val="auto"/>
          <w:highlight w:val="none"/>
        </w:rPr>
        <w:t>1.1设计简况</w:t>
      </w:r>
    </w:p>
    <w:p>
      <w:pPr>
        <w:pStyle w:val="13"/>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rPr>
        <w:t>本项目按照环评和环评批复的要求，已将建设项目的环境保护设施纳入了初步设计，环境保护设施的设计符合环境保护设计规范的要求，落实了污染物防治措施，环保设施的设计符合环境保护设计规范的要求。本项目环保投资为</w:t>
      </w:r>
      <w:r>
        <w:rPr>
          <w:rFonts w:hint="eastAsia"/>
          <w:color w:val="auto"/>
          <w:highlight w:val="none"/>
          <w:lang w:val="en-US" w:eastAsia="zh-CN"/>
        </w:rPr>
        <w:t>4.6</w:t>
      </w:r>
      <w:r>
        <w:rPr>
          <w:rFonts w:hint="eastAsia"/>
          <w:color w:val="auto"/>
          <w:highlight w:val="none"/>
        </w:rPr>
        <w:t>万元。</w:t>
      </w:r>
    </w:p>
    <w:p>
      <w:pPr>
        <w:pStyle w:val="15"/>
        <w:bidi w:val="0"/>
        <w:rPr>
          <w:rFonts w:hint="eastAsia"/>
          <w:color w:val="auto"/>
          <w:highlight w:val="none"/>
          <w:lang w:eastAsia="zh-CN"/>
        </w:rPr>
      </w:pPr>
      <w:r>
        <w:rPr>
          <w:rFonts w:hint="eastAsia"/>
          <w:color w:val="auto"/>
          <w:highlight w:val="none"/>
        </w:rPr>
        <w:t>1.2施工简况</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sz w:val="21"/>
          <w:szCs w:val="21"/>
          <w:highlight w:val="none"/>
        </w:rPr>
      </w:pPr>
      <w:r>
        <w:rPr>
          <w:rFonts w:hint="default"/>
          <w:color w:val="auto"/>
          <w:highlight w:val="none"/>
          <w:lang w:val="en-US" w:eastAsia="zh-CN"/>
        </w:rPr>
        <w:t>本项目位于位于</w:t>
      </w:r>
      <w:r>
        <w:rPr>
          <w:rFonts w:hint="default" w:ascii="Times New Roman" w:hAnsi="Times New Roman" w:eastAsia="宋体" w:cs="Times New Roman"/>
          <w:color w:val="auto"/>
          <w:kern w:val="0"/>
          <w:sz w:val="24"/>
          <w:szCs w:val="24"/>
          <w:highlight w:val="none"/>
          <w:lang w:val="en-US" w:eastAsia="zh-CN" w:bidi="ar"/>
        </w:rPr>
        <w:t>鞍钢厂区北部泄洪口</w:t>
      </w:r>
      <w:r>
        <w:rPr>
          <w:rFonts w:hint="eastAsia"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原28水站旧址西南侧</w:t>
      </w:r>
      <w:r>
        <w:rPr>
          <w:rFonts w:hint="default"/>
          <w:color w:val="auto"/>
          <w:highlight w:val="none"/>
          <w:lang w:val="en-US" w:eastAsia="zh-CN"/>
        </w:rPr>
        <w:t>，</w:t>
      </w:r>
      <w:r>
        <w:rPr>
          <w:rFonts w:hint="eastAsia"/>
          <w:color w:val="auto"/>
          <w:highlight w:val="none"/>
          <w:lang w:val="en-US" w:eastAsia="zh-CN"/>
        </w:rPr>
        <w:t>项目性质为改扩建，</w:t>
      </w:r>
      <w:r>
        <w:rPr>
          <w:rFonts w:hint="default"/>
          <w:color w:val="auto"/>
          <w:highlight w:val="none"/>
          <w:lang w:val="en-US" w:eastAsia="zh-CN"/>
        </w:rPr>
        <w:t>根据</w:t>
      </w:r>
      <w:r>
        <w:rPr>
          <w:rFonts w:hint="default"/>
          <w:color w:val="auto"/>
          <w:highlight w:val="none"/>
          <w:lang w:eastAsia="zh-CN"/>
        </w:rPr>
        <w:t>环境影响报告表及环评批复要求，</w:t>
      </w:r>
      <w:r>
        <w:rPr>
          <w:rFonts w:hint="eastAsia"/>
          <w:color w:val="auto"/>
          <w:highlight w:val="none"/>
          <w:lang w:val="en-US" w:eastAsia="zh-CN"/>
        </w:rPr>
        <w:t>改造的主要内容为：</w:t>
      </w:r>
      <w:r>
        <w:rPr>
          <w:rFonts w:hint="default" w:ascii="Times New Roman" w:hAnsi="Times New Roman" w:eastAsia="宋体" w:cs="Times New Roman"/>
          <w:color w:val="auto"/>
          <w:highlight w:val="none"/>
        </w:rPr>
        <w:t>将位于鞍钢厂区北部泄洪口的28水站内建筑物及设备全部拆除</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在28水站旧址西南侧新建1座防洪泵站</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流量增加到3000</w:t>
      </w:r>
      <w:r>
        <w:rPr>
          <w:rFonts w:hint="default" w:ascii="Times New Roman" w:hAnsi="Times New Roman" w:eastAsia="宋体" w:cs="Times New Roman"/>
          <w:color w:val="auto"/>
          <w:highlight w:val="none"/>
          <w:lang w:val="en-US" w:eastAsia="zh-CN"/>
        </w:rPr>
        <w:t>0m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/h</w:t>
      </w:r>
      <w:r>
        <w:rPr>
          <w:rFonts w:hint="eastAsia"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rPr>
        <w:t>建设内容包括蓄水池吸水</w:t>
      </w:r>
      <w:r>
        <w:rPr>
          <w:rFonts w:hint="default" w:ascii="Times New Roman" w:hAnsi="Times New Roman" w:eastAsia="宋体" w:cs="Times New Roman"/>
          <w:color w:val="auto"/>
          <w:highlight w:val="none"/>
          <w:lang w:val="en-US" w:eastAsia="zh-CN"/>
        </w:rPr>
        <w:t>井</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水</w:t>
      </w:r>
      <w:r>
        <w:rPr>
          <w:rFonts w:hint="default" w:ascii="Times New Roman" w:hAnsi="Times New Roman" w:eastAsia="宋体" w:cs="Times New Roman"/>
          <w:color w:val="auto"/>
          <w:highlight w:val="none"/>
          <w:lang w:val="en-US" w:eastAsia="zh-CN"/>
        </w:rPr>
        <w:t>泵</w:t>
      </w:r>
      <w:r>
        <w:rPr>
          <w:rFonts w:hint="default" w:ascii="Times New Roman" w:hAnsi="Times New Roman" w:eastAsia="宋体" w:cs="Times New Roman"/>
          <w:color w:val="auto"/>
          <w:highlight w:val="none"/>
        </w:rPr>
        <w:t>间</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电气</w:t>
      </w:r>
      <w:r>
        <w:rPr>
          <w:rFonts w:hint="default" w:ascii="Times New Roman" w:hAnsi="Times New Roman" w:eastAsia="宋体" w:cs="Times New Roman"/>
          <w:color w:val="auto"/>
          <w:highlight w:val="none"/>
          <w:lang w:val="en-US" w:eastAsia="zh-CN"/>
        </w:rPr>
        <w:t>室</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lang w:val="en-US" w:eastAsia="zh-CN"/>
        </w:rPr>
        <w:t>格栅间，进排水管道及配套的电气、电讯等设施</w:t>
      </w:r>
      <w:r>
        <w:rPr>
          <w:rFonts w:hint="eastAsia" w:ascii="Times New Roman" w:hAnsi="Times New Roman" w:cs="Times New Roman"/>
          <w:color w:val="auto"/>
          <w:highlight w:val="none"/>
          <w:lang w:val="en-US" w:eastAsia="zh-CN"/>
        </w:rPr>
        <w:t>。</w:t>
      </w:r>
      <w:r>
        <w:rPr>
          <w:rFonts w:hint="default"/>
          <w:color w:val="auto"/>
          <w:highlight w:val="none"/>
        </w:rPr>
        <w:t>项目开工时间为20</w:t>
      </w:r>
      <w:r>
        <w:rPr>
          <w:rFonts w:hint="eastAsia"/>
          <w:color w:val="auto"/>
          <w:highlight w:val="none"/>
          <w:lang w:val="en-US" w:eastAsia="zh-CN"/>
        </w:rPr>
        <w:t>20</w:t>
      </w:r>
      <w:r>
        <w:rPr>
          <w:rFonts w:hint="default"/>
          <w:color w:val="auto"/>
          <w:highlight w:val="none"/>
        </w:rPr>
        <w:t>年</w:t>
      </w:r>
      <w:r>
        <w:rPr>
          <w:rFonts w:hint="eastAsia"/>
          <w:color w:val="auto"/>
          <w:highlight w:val="none"/>
          <w:lang w:val="en-US" w:eastAsia="zh-CN"/>
        </w:rPr>
        <w:t>3</w:t>
      </w:r>
      <w:r>
        <w:rPr>
          <w:rFonts w:hint="default"/>
          <w:color w:val="auto"/>
          <w:highlight w:val="none"/>
        </w:rPr>
        <w:t>月，项目</w:t>
      </w:r>
      <w:r>
        <w:rPr>
          <w:rFonts w:hint="eastAsia"/>
          <w:color w:val="auto"/>
          <w:highlight w:val="none"/>
          <w:lang w:eastAsia="zh-CN"/>
        </w:rPr>
        <w:t>建成</w:t>
      </w:r>
      <w:r>
        <w:rPr>
          <w:rFonts w:hint="default"/>
          <w:color w:val="auto"/>
          <w:highlight w:val="none"/>
        </w:rPr>
        <w:t>时间为</w:t>
      </w:r>
      <w:r>
        <w:rPr>
          <w:rFonts w:hint="default"/>
          <w:color w:val="auto"/>
          <w:highlight w:val="none"/>
          <w:lang w:val="en-US" w:eastAsia="zh-CN"/>
        </w:rPr>
        <w:t>20</w:t>
      </w:r>
      <w:r>
        <w:rPr>
          <w:rFonts w:hint="eastAsia"/>
          <w:color w:val="auto"/>
          <w:highlight w:val="none"/>
          <w:lang w:val="en-US" w:eastAsia="zh-CN"/>
        </w:rPr>
        <w:t>20</w:t>
      </w:r>
      <w:r>
        <w:rPr>
          <w:rFonts w:hint="default"/>
          <w:color w:val="auto"/>
          <w:highlight w:val="none"/>
        </w:rPr>
        <w:t>年</w:t>
      </w:r>
      <w:r>
        <w:rPr>
          <w:rFonts w:hint="eastAsia"/>
          <w:color w:val="auto"/>
          <w:highlight w:val="none"/>
          <w:lang w:val="en-US" w:eastAsia="zh-CN"/>
        </w:rPr>
        <w:t>7</w:t>
      </w:r>
      <w:r>
        <w:rPr>
          <w:rFonts w:hint="default"/>
          <w:color w:val="auto"/>
          <w:highlight w:val="none"/>
        </w:rPr>
        <w:t>月，</w:t>
      </w:r>
      <w:r>
        <w:rPr>
          <w:rFonts w:hint="eastAsia"/>
          <w:color w:val="auto"/>
          <w:highlight w:val="none"/>
          <w:lang w:val="en-US" w:eastAsia="zh-CN"/>
        </w:rPr>
        <w:t>2020年8月开始试运行。本项目建设及运行调试期间无环境投诉、违法、或处罚记录。本项目在建设过程中落实了环境影响报告表及其审批部门审批决定中提出的环境保护对策措施。</w:t>
      </w:r>
    </w:p>
    <w:p>
      <w:pPr>
        <w:pStyle w:val="15"/>
        <w:bidi w:val="0"/>
        <w:rPr>
          <w:color w:val="auto"/>
          <w:highlight w:val="none"/>
        </w:rPr>
      </w:pPr>
      <w:r>
        <w:rPr>
          <w:rFonts w:hint="eastAsia"/>
          <w:color w:val="auto"/>
          <w:highlight w:val="none"/>
        </w:rPr>
        <w:t>1.3验收过程简况</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eastAsia"/>
          <w:color w:val="auto"/>
          <w:sz w:val="21"/>
          <w:szCs w:val="21"/>
          <w:highlight w:val="none"/>
        </w:rPr>
      </w:pPr>
      <w:r>
        <w:rPr>
          <w:rFonts w:hint="default"/>
          <w:color w:val="auto"/>
          <w:highlight w:val="none"/>
          <w:lang w:val="en-US" w:eastAsia="zh-CN"/>
        </w:rPr>
        <w:t>20</w:t>
      </w:r>
      <w:r>
        <w:rPr>
          <w:rFonts w:hint="eastAsia"/>
          <w:color w:val="auto"/>
          <w:highlight w:val="none"/>
          <w:lang w:val="en-US" w:eastAsia="zh-CN"/>
        </w:rPr>
        <w:t>19</w:t>
      </w:r>
      <w:r>
        <w:rPr>
          <w:rFonts w:hint="default"/>
          <w:color w:val="auto"/>
          <w:highlight w:val="none"/>
        </w:rPr>
        <w:t>年</w:t>
      </w:r>
      <w:r>
        <w:rPr>
          <w:rFonts w:hint="eastAsia"/>
          <w:color w:val="auto"/>
          <w:highlight w:val="none"/>
          <w:lang w:val="en-US" w:eastAsia="zh-CN"/>
        </w:rPr>
        <w:t>12</w:t>
      </w:r>
      <w:r>
        <w:rPr>
          <w:rFonts w:hint="default"/>
          <w:color w:val="auto"/>
          <w:highlight w:val="none"/>
        </w:rPr>
        <w:t>月</w:t>
      </w:r>
      <w:r>
        <w:rPr>
          <w:rFonts w:hint="eastAsia"/>
          <w:color w:val="auto"/>
          <w:highlight w:val="none"/>
          <w:lang w:val="en-US" w:eastAsia="zh-CN"/>
        </w:rPr>
        <w:t>11</w:t>
      </w:r>
      <w:r>
        <w:rPr>
          <w:rFonts w:hint="default"/>
          <w:color w:val="auto"/>
          <w:highlight w:val="none"/>
        </w:rPr>
        <w:t>日</w:t>
      </w:r>
      <w:r>
        <w:rPr>
          <w:rFonts w:hint="default"/>
          <w:color w:val="auto"/>
          <w:highlight w:val="none"/>
          <w:lang w:eastAsia="zh-CN"/>
        </w:rPr>
        <w:t>鞍钢股份</w:t>
      </w:r>
      <w:r>
        <w:rPr>
          <w:rFonts w:hint="eastAsia"/>
          <w:color w:val="auto"/>
          <w:highlight w:val="none"/>
          <w:lang w:val="en-US" w:eastAsia="zh-CN"/>
        </w:rPr>
        <w:t>有限</w:t>
      </w:r>
      <w:r>
        <w:rPr>
          <w:rFonts w:hint="eastAsia"/>
          <w:color w:val="auto"/>
          <w:highlight w:val="none"/>
        </w:rPr>
        <w:t>公司委托</w:t>
      </w:r>
      <w:r>
        <w:rPr>
          <w:rFonts w:hint="eastAsia"/>
          <w:color w:val="auto"/>
          <w:highlight w:val="none"/>
          <w:lang w:val="en-US" w:eastAsia="zh-CN"/>
        </w:rPr>
        <w:t>鞍山集团工程技术有限</w:t>
      </w:r>
      <w:r>
        <w:rPr>
          <w:rFonts w:hint="eastAsia"/>
          <w:color w:val="auto"/>
          <w:highlight w:val="none"/>
        </w:rPr>
        <w:t>公司编制了《鞍钢股份</w:t>
      </w:r>
      <w:r>
        <w:rPr>
          <w:rFonts w:hint="eastAsia"/>
          <w:color w:val="auto"/>
          <w:highlight w:val="none"/>
          <w:lang w:val="en-US" w:eastAsia="zh-CN"/>
        </w:rPr>
        <w:t>公司鞍钢能源管控中心28水站增容改造工程》</w:t>
      </w:r>
      <w:r>
        <w:rPr>
          <w:rFonts w:hint="eastAsia"/>
          <w:color w:val="auto"/>
          <w:highlight w:val="none"/>
        </w:rPr>
        <w:t>环境影响报告表，</w:t>
      </w:r>
      <w:r>
        <w:rPr>
          <w:rFonts w:hint="eastAsia"/>
          <w:color w:val="auto"/>
          <w:highlight w:val="none"/>
          <w:lang w:val="en-US" w:eastAsia="zh-CN"/>
        </w:rPr>
        <w:t>并于</w:t>
      </w:r>
      <w:r>
        <w:rPr>
          <w:rFonts w:hint="default"/>
          <w:color w:val="auto"/>
          <w:highlight w:val="none"/>
          <w:lang w:val="en-US" w:eastAsia="zh-CN"/>
        </w:rPr>
        <w:t>20</w:t>
      </w:r>
      <w:r>
        <w:rPr>
          <w:rFonts w:hint="eastAsia"/>
          <w:color w:val="auto"/>
          <w:highlight w:val="none"/>
          <w:lang w:val="en-US" w:eastAsia="zh-CN"/>
        </w:rPr>
        <w:t>20</w:t>
      </w:r>
      <w:r>
        <w:rPr>
          <w:rFonts w:hint="default"/>
          <w:color w:val="auto"/>
          <w:highlight w:val="none"/>
        </w:rPr>
        <w:t>年</w:t>
      </w:r>
      <w:r>
        <w:rPr>
          <w:rFonts w:hint="eastAsia"/>
          <w:color w:val="auto"/>
          <w:highlight w:val="none"/>
          <w:lang w:val="en-US" w:eastAsia="zh-CN"/>
        </w:rPr>
        <w:t>3</w:t>
      </w:r>
      <w:r>
        <w:rPr>
          <w:rFonts w:hint="default"/>
          <w:color w:val="auto"/>
          <w:highlight w:val="none"/>
        </w:rPr>
        <w:t>月</w:t>
      </w:r>
      <w:r>
        <w:rPr>
          <w:rFonts w:hint="eastAsia"/>
          <w:color w:val="auto"/>
          <w:highlight w:val="none"/>
          <w:lang w:val="en-US" w:eastAsia="zh-CN"/>
        </w:rPr>
        <w:t>2</w:t>
      </w:r>
      <w:r>
        <w:rPr>
          <w:rFonts w:hint="default"/>
          <w:color w:val="auto"/>
          <w:highlight w:val="none"/>
        </w:rPr>
        <w:t>日</w:t>
      </w:r>
      <w:r>
        <w:rPr>
          <w:rFonts w:hint="eastAsia"/>
          <w:color w:val="auto"/>
          <w:highlight w:val="none"/>
          <w:lang w:val="en-US" w:eastAsia="zh-CN"/>
        </w:rPr>
        <w:t>取得鞍山</w:t>
      </w:r>
      <w:r>
        <w:rPr>
          <w:rFonts w:hint="eastAsia"/>
          <w:color w:val="auto"/>
          <w:highlight w:val="none"/>
        </w:rPr>
        <w:t>市行政审批局</w:t>
      </w:r>
      <w:r>
        <w:rPr>
          <w:rFonts w:hint="eastAsia"/>
          <w:color w:val="auto"/>
          <w:highlight w:val="none"/>
          <w:lang w:val="en-US" w:eastAsia="zh-CN"/>
        </w:rPr>
        <w:t>的批复意见</w:t>
      </w:r>
      <w:r>
        <w:rPr>
          <w:rFonts w:hint="eastAsia"/>
          <w:color w:val="auto"/>
          <w:highlight w:val="none"/>
        </w:rPr>
        <w:t>（批复文号：</w:t>
      </w:r>
      <w:r>
        <w:rPr>
          <w:rFonts w:hint="eastAsia"/>
          <w:color w:val="auto"/>
          <w:highlight w:val="none"/>
          <w:lang w:val="en-US" w:eastAsia="zh-CN"/>
        </w:rPr>
        <w:t>鞍</w:t>
      </w:r>
      <w:r>
        <w:rPr>
          <w:rFonts w:hint="eastAsia"/>
          <w:color w:val="auto"/>
          <w:highlight w:val="none"/>
        </w:rPr>
        <w:t>行审批复环[20</w:t>
      </w:r>
      <w:r>
        <w:rPr>
          <w:rFonts w:hint="eastAsia"/>
          <w:color w:val="auto"/>
          <w:highlight w:val="none"/>
          <w:lang w:val="en-US" w:eastAsia="zh-CN"/>
        </w:rPr>
        <w:t>20</w:t>
      </w:r>
      <w:r>
        <w:rPr>
          <w:rFonts w:hint="eastAsia"/>
          <w:color w:val="auto"/>
          <w:highlight w:val="none"/>
        </w:rPr>
        <w:t>]</w:t>
      </w:r>
      <w:r>
        <w:rPr>
          <w:rFonts w:hint="eastAsia"/>
          <w:color w:val="auto"/>
          <w:highlight w:val="none"/>
          <w:lang w:val="en-US" w:eastAsia="zh-CN"/>
        </w:rPr>
        <w:t>7</w:t>
      </w:r>
      <w:r>
        <w:rPr>
          <w:rFonts w:hint="eastAsia"/>
          <w:color w:val="auto"/>
          <w:highlight w:val="none"/>
        </w:rPr>
        <w:t>号）。</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辽宁中环环境保护监测有限公司受</w:t>
      </w:r>
      <w:r>
        <w:rPr>
          <w:rFonts w:hint="default"/>
          <w:color w:val="auto"/>
          <w:highlight w:val="none"/>
          <w:lang w:eastAsia="zh-CN"/>
        </w:rPr>
        <w:t>鞍钢股份</w:t>
      </w:r>
      <w:r>
        <w:rPr>
          <w:rFonts w:hint="eastAsia"/>
          <w:color w:val="auto"/>
          <w:highlight w:val="none"/>
          <w:lang w:val="en-US" w:eastAsia="zh-CN"/>
        </w:rPr>
        <w:t>有限</w:t>
      </w:r>
      <w:r>
        <w:rPr>
          <w:rFonts w:hint="eastAsia"/>
          <w:color w:val="auto"/>
          <w:highlight w:val="none"/>
        </w:rPr>
        <w:t>公司委托，对《鞍钢股份</w:t>
      </w:r>
      <w:r>
        <w:rPr>
          <w:rFonts w:hint="eastAsia"/>
          <w:color w:val="auto"/>
          <w:highlight w:val="none"/>
          <w:lang w:val="en-US" w:eastAsia="zh-CN"/>
        </w:rPr>
        <w:t>公司鞍钢能源管控中心28水站增容改造工程</w:t>
      </w:r>
      <w:r>
        <w:rPr>
          <w:rFonts w:hint="eastAsia"/>
          <w:color w:val="auto"/>
          <w:highlight w:val="none"/>
        </w:rPr>
        <w:t>》进行了竣工环境保护验收监测工作。根据建设项目环境保护相关法律、法规和规章制度，辽宁中环环境保护监测有限公司技术人员已对该项目进行现场踏勘，收集相关资料，并针对本次验收范围包括噪声</w:t>
      </w:r>
      <w:r>
        <w:rPr>
          <w:rFonts w:hint="eastAsia"/>
          <w:color w:val="auto"/>
          <w:highlight w:val="none"/>
          <w:lang w:eastAsia="zh-CN"/>
        </w:rPr>
        <w:t>、</w:t>
      </w:r>
      <w:r>
        <w:rPr>
          <w:rFonts w:hint="eastAsia"/>
          <w:color w:val="auto"/>
          <w:highlight w:val="none"/>
          <w:lang w:val="en-US" w:eastAsia="zh-CN"/>
        </w:rPr>
        <w:t>固废</w:t>
      </w:r>
      <w:r>
        <w:rPr>
          <w:rFonts w:hint="eastAsia"/>
          <w:color w:val="auto"/>
          <w:highlight w:val="none"/>
        </w:rPr>
        <w:t>排放等内容编制了该项目竣工环境保护验收监测方案。根据监测方案，辽宁中环环境保护监测有限公司于</w:t>
      </w:r>
      <w:r>
        <w:rPr>
          <w:rFonts w:hint="default"/>
          <w:color w:val="auto"/>
          <w:highlight w:val="none"/>
          <w:lang w:val="en-US" w:eastAsia="zh-CN"/>
        </w:rPr>
        <w:t>20</w:t>
      </w:r>
      <w:r>
        <w:rPr>
          <w:rFonts w:hint="eastAsia"/>
          <w:color w:val="auto"/>
          <w:highlight w:val="none"/>
          <w:lang w:val="en-US" w:eastAsia="zh-CN"/>
        </w:rPr>
        <w:t>20</w:t>
      </w:r>
      <w:r>
        <w:rPr>
          <w:rFonts w:hint="default"/>
          <w:color w:val="auto"/>
          <w:highlight w:val="none"/>
        </w:rPr>
        <w:t>年</w:t>
      </w:r>
      <w:r>
        <w:rPr>
          <w:rFonts w:hint="eastAsia"/>
          <w:color w:val="auto"/>
          <w:highlight w:val="none"/>
          <w:lang w:val="en-US" w:eastAsia="zh-CN"/>
        </w:rPr>
        <w:t>9</w:t>
      </w:r>
      <w:r>
        <w:rPr>
          <w:rFonts w:hint="default"/>
          <w:color w:val="auto"/>
          <w:highlight w:val="none"/>
        </w:rPr>
        <w:t>月</w:t>
      </w:r>
      <w:r>
        <w:rPr>
          <w:rFonts w:hint="eastAsia"/>
          <w:color w:val="auto"/>
          <w:highlight w:val="none"/>
          <w:lang w:val="en-US" w:eastAsia="zh-CN"/>
        </w:rPr>
        <w:t>7</w:t>
      </w:r>
      <w:r>
        <w:rPr>
          <w:rFonts w:hint="default"/>
          <w:color w:val="auto"/>
          <w:highlight w:val="none"/>
        </w:rPr>
        <w:t>日</w:t>
      </w:r>
      <w:r>
        <w:rPr>
          <w:rFonts w:hint="eastAsia"/>
          <w:color w:val="auto"/>
          <w:highlight w:val="none"/>
          <w:lang w:eastAsia="zh-CN"/>
        </w:rPr>
        <w:t>至</w:t>
      </w:r>
      <w:r>
        <w:rPr>
          <w:rFonts w:hint="eastAsia"/>
          <w:color w:val="auto"/>
          <w:highlight w:val="none"/>
          <w:lang w:val="en-US" w:eastAsia="zh-CN"/>
        </w:rPr>
        <w:t>9月8日</w:t>
      </w:r>
      <w:r>
        <w:rPr>
          <w:rFonts w:hint="eastAsia"/>
          <w:color w:val="auto"/>
          <w:highlight w:val="none"/>
        </w:rPr>
        <w:t>对该项目进行监测，并按技术专家提出的意见进行了整改后形成了最终的验收监测报告，经验收组再次确认后，满足验收要求，同意通过验收</w:t>
      </w:r>
      <w:r>
        <w:rPr>
          <w:rFonts w:hint="eastAsia"/>
          <w:color w:val="auto"/>
          <w:highlight w:val="none"/>
          <w:lang w:eastAsia="zh-CN"/>
        </w:rPr>
        <w:t>。</w:t>
      </w:r>
    </w:p>
    <w:p>
      <w:pPr>
        <w:pStyle w:val="15"/>
        <w:bidi w:val="0"/>
        <w:rPr>
          <w:rFonts w:hint="eastAsia"/>
          <w:color w:val="auto"/>
          <w:highlight w:val="none"/>
        </w:rPr>
      </w:pPr>
      <w:r>
        <w:rPr>
          <w:rFonts w:hint="eastAsia"/>
          <w:color w:val="auto"/>
          <w:highlight w:val="none"/>
        </w:rPr>
        <w:t>1.4公众反馈意见及处理情况</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rPr>
        <w:t>建设项目设计、施工和验收期间</w:t>
      </w:r>
      <w:r>
        <w:rPr>
          <w:rFonts w:hint="eastAsia"/>
          <w:color w:val="auto"/>
          <w:highlight w:val="none"/>
          <w:lang w:val="en-US" w:eastAsia="zh-CN"/>
        </w:rPr>
        <w:t>均</w:t>
      </w:r>
      <w:r>
        <w:rPr>
          <w:rFonts w:hint="eastAsia"/>
          <w:color w:val="auto"/>
          <w:highlight w:val="none"/>
        </w:rPr>
        <w:t>未收到过公众反馈意见</w:t>
      </w:r>
      <w:r>
        <w:rPr>
          <w:rFonts w:hint="eastAsia"/>
          <w:color w:val="auto"/>
          <w:highlight w:val="none"/>
          <w:lang w:val="en-US" w:eastAsia="zh-CN"/>
        </w:rPr>
        <w:t>和</w:t>
      </w:r>
      <w:r>
        <w:rPr>
          <w:rFonts w:hint="eastAsia"/>
          <w:color w:val="auto"/>
          <w:highlight w:val="none"/>
        </w:rPr>
        <w:t>投诉。</w:t>
      </w:r>
    </w:p>
    <w:p>
      <w:pPr>
        <w:pStyle w:val="18"/>
        <w:bidi w:val="0"/>
        <w:rPr>
          <w:color w:val="auto"/>
          <w:sz w:val="21"/>
          <w:szCs w:val="21"/>
          <w:highlight w:val="none"/>
        </w:rPr>
      </w:pPr>
      <w:bookmarkStart w:id="3" w:name="_Toc3283"/>
      <w:bookmarkStart w:id="4" w:name="_Toc6983"/>
      <w:r>
        <w:rPr>
          <w:rFonts w:hint="eastAsia"/>
          <w:color w:val="auto"/>
          <w:highlight w:val="none"/>
          <w:lang w:val="en-US" w:eastAsia="zh-CN"/>
        </w:rPr>
        <w:t>二、</w:t>
      </w:r>
      <w:r>
        <w:rPr>
          <w:rFonts w:hint="eastAsia"/>
          <w:color w:val="auto"/>
          <w:highlight w:val="none"/>
        </w:rPr>
        <w:t>其他环境保护措施的落实情况</w:t>
      </w:r>
      <w:bookmarkEnd w:id="3"/>
      <w:bookmarkEnd w:id="4"/>
    </w:p>
    <w:p>
      <w:pPr>
        <w:pStyle w:val="15"/>
        <w:bidi w:val="0"/>
        <w:rPr>
          <w:color w:val="auto"/>
          <w:highlight w:val="none"/>
        </w:rPr>
      </w:pPr>
      <w:r>
        <w:rPr>
          <w:rFonts w:hint="eastAsia"/>
          <w:color w:val="auto"/>
          <w:highlight w:val="none"/>
        </w:rPr>
        <w:t>2.1制度措施落实情况</w:t>
      </w:r>
    </w:p>
    <w:p>
      <w:pPr>
        <w:pStyle w:val="19"/>
        <w:bidi w:val="0"/>
        <w:rPr>
          <w:color w:val="auto"/>
          <w:highlight w:val="none"/>
        </w:rPr>
      </w:pPr>
      <w:r>
        <w:rPr>
          <w:rFonts w:hint="eastAsia"/>
          <w:color w:val="auto"/>
          <w:highlight w:val="none"/>
          <w:lang w:val="en-US" w:eastAsia="zh-CN"/>
        </w:rPr>
        <w:t>2.1.1</w:t>
      </w:r>
      <w:r>
        <w:rPr>
          <w:rFonts w:hint="eastAsia"/>
          <w:color w:val="auto"/>
          <w:highlight w:val="none"/>
        </w:rPr>
        <w:t>环保组织机构及规章制度</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rPr>
        <w:t>企业设置了工程人员负责环保设施的运行与维护，并建立了环境管理制度，保证了公司环境管理工作正常、有序开展。</w:t>
      </w:r>
    </w:p>
    <w:p>
      <w:pPr>
        <w:pStyle w:val="19"/>
        <w:bidi w:val="0"/>
        <w:rPr>
          <w:color w:val="auto"/>
          <w:highlight w:val="none"/>
        </w:rPr>
      </w:pPr>
      <w:r>
        <w:rPr>
          <w:rFonts w:hint="eastAsia"/>
          <w:color w:val="auto"/>
          <w:highlight w:val="none"/>
          <w:lang w:val="en-US" w:eastAsia="zh-CN"/>
        </w:rPr>
        <w:t>2.1.2</w:t>
      </w:r>
      <w:r>
        <w:rPr>
          <w:rFonts w:hint="eastAsia"/>
          <w:color w:val="auto"/>
          <w:highlight w:val="none"/>
        </w:rPr>
        <w:t>环境风险防范措施</w:t>
      </w:r>
    </w:p>
    <w:p>
      <w:pPr>
        <w:keepNext w:val="0"/>
        <w:keepLines w:val="0"/>
        <w:pageBreakBefore w:val="0"/>
        <w:widowControl/>
        <w:numPr>
          <w:ilvl w:val="0"/>
          <w:numId w:val="0"/>
        </w:numPr>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rPr>
        <w:t>认真落实相关污染防治措施，配置相应环保和节能设备。本着清洁生产的目标，降低能耗、减少浪费和污染物的排放。</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color w:val="auto"/>
          <w:highlight w:val="none"/>
        </w:rPr>
      </w:pPr>
      <w:r>
        <w:rPr>
          <w:rFonts w:hint="eastAsia"/>
          <w:color w:val="auto"/>
          <w:highlight w:val="none"/>
          <w:lang w:val="en-US" w:eastAsia="zh-CN"/>
        </w:rPr>
        <w:t>2、</w:t>
      </w:r>
      <w:r>
        <w:rPr>
          <w:rFonts w:hint="default"/>
          <w:color w:val="auto"/>
          <w:highlight w:val="none"/>
        </w:rPr>
        <w:t>着手建立环境保护管理制度，提高员工环保意识，要从制度上保证做到环境保护和污染预防工作。</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default" w:ascii="Times New Roman" w:hAnsi="Times New Roman" w:cs="Times New Roman"/>
          <w:color w:val="auto"/>
          <w:highlight w:val="none"/>
          <w:lang w:val="en-US" w:eastAsia="zh-CN"/>
        </w:rPr>
        <w:t>3、</w:t>
      </w:r>
      <w:r>
        <w:rPr>
          <w:rFonts w:hint="eastAsia"/>
          <w:color w:val="auto"/>
          <w:highlight w:val="none"/>
          <w:lang w:val="en-US" w:eastAsia="zh-CN"/>
        </w:rPr>
        <w:t>加强对生产设备的日常维护，保证设备的正常运行，加强厂区周边的绿化。</w:t>
      </w:r>
    </w:p>
    <w:p>
      <w:pPr>
        <w:keepNext w:val="0"/>
        <w:keepLines w:val="0"/>
        <w:pageBreakBefore w:val="0"/>
        <w:widowControl/>
        <w:numPr>
          <w:ilvl w:val="0"/>
          <w:numId w:val="0"/>
        </w:numPr>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r>
        <w:rPr>
          <w:rFonts w:hint="eastAsia" w:ascii="Times New Roman" w:hAnsi="Times New Roman" w:cs="Times New Roman"/>
          <w:color w:val="auto"/>
          <w:highlight w:val="none"/>
          <w:lang w:val="en-US" w:eastAsia="zh-CN"/>
        </w:rPr>
        <w:t>4、</w:t>
      </w:r>
      <w:r>
        <w:rPr>
          <w:rFonts w:hint="default" w:ascii="Times New Roman" w:hAnsi="Times New Roman" w:eastAsia="宋体" w:cs="Times New Roman"/>
          <w:color w:val="auto"/>
          <w:highlight w:val="none"/>
        </w:rPr>
        <w:t>设立专门的应急救援机构，负责事故发生期间的一切应急救援工作并负责日常安全管理工作，确保各项安全管理措施的落实与执行，做好事故的防范</w:t>
      </w:r>
      <w:r>
        <w:rPr>
          <w:rFonts w:hint="eastAsia" w:ascii="Times New Roman" w:hAnsi="Times New Roman" w:cs="Times New Roman"/>
          <w:color w:val="auto"/>
          <w:highlight w:val="none"/>
          <w:lang w:eastAsia="zh-CN"/>
        </w:rPr>
        <w:t>。</w:t>
      </w:r>
    </w:p>
    <w:p>
      <w:pPr>
        <w:pStyle w:val="19"/>
        <w:bidi w:val="0"/>
        <w:rPr>
          <w:color w:val="auto"/>
          <w:highlight w:val="none"/>
        </w:rPr>
      </w:pPr>
      <w:r>
        <w:rPr>
          <w:rFonts w:hint="eastAsia"/>
          <w:color w:val="auto"/>
          <w:highlight w:val="none"/>
          <w:lang w:val="en-US" w:eastAsia="zh-CN"/>
        </w:rPr>
        <w:t>2.1.3</w:t>
      </w:r>
      <w:r>
        <w:rPr>
          <w:rFonts w:hint="eastAsia"/>
          <w:color w:val="auto"/>
          <w:highlight w:val="none"/>
        </w:rPr>
        <w:t>环境监测计划</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sz w:val="21"/>
          <w:szCs w:val="21"/>
          <w:highlight w:val="none"/>
        </w:rPr>
      </w:pPr>
      <w:r>
        <w:rPr>
          <w:rFonts w:hint="eastAsia"/>
          <w:color w:val="auto"/>
          <w:highlight w:val="none"/>
          <w:lang w:val="en-US" w:eastAsia="zh-CN"/>
        </w:rPr>
        <w:t>鞍钢股份有限</w:t>
      </w:r>
      <w:r>
        <w:rPr>
          <w:rFonts w:hint="default"/>
          <w:color w:val="auto"/>
          <w:highlight w:val="none"/>
          <w:lang w:val="en-US" w:eastAsia="zh-CN"/>
        </w:rPr>
        <w:t>公司按《排污单位自行监测技术指南总则》（HJ 819-2017）的要求制定了环境监测计划，待验收后，按计划正常开展环境监测。</w:t>
      </w:r>
    </w:p>
    <w:p>
      <w:pPr>
        <w:pStyle w:val="15"/>
        <w:bidi w:val="0"/>
        <w:rPr>
          <w:color w:val="auto"/>
          <w:highlight w:val="none"/>
        </w:rPr>
      </w:pPr>
      <w:r>
        <w:rPr>
          <w:rFonts w:hint="eastAsia"/>
          <w:color w:val="auto"/>
          <w:highlight w:val="none"/>
        </w:rPr>
        <w:t>2.2配套措施落实情况</w:t>
      </w:r>
    </w:p>
    <w:p>
      <w:pPr>
        <w:pStyle w:val="19"/>
        <w:bidi w:val="0"/>
        <w:rPr>
          <w:color w:val="auto"/>
          <w:highlight w:val="none"/>
        </w:rPr>
      </w:pPr>
      <w:r>
        <w:rPr>
          <w:rFonts w:hint="eastAsia"/>
          <w:color w:val="auto"/>
          <w:highlight w:val="none"/>
          <w:lang w:val="en-US" w:eastAsia="zh-CN"/>
        </w:rPr>
        <w:t>2.2.1</w:t>
      </w:r>
      <w:r>
        <w:rPr>
          <w:rFonts w:hint="eastAsia"/>
          <w:color w:val="auto"/>
          <w:highlight w:val="none"/>
        </w:rPr>
        <w:t>区域削减及淘汰落后产能</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本项目不涉及</w:t>
      </w:r>
      <w:r>
        <w:rPr>
          <w:rFonts w:hint="eastAsia"/>
          <w:color w:val="auto"/>
          <w:highlight w:val="none"/>
        </w:rPr>
        <w:t>削减污染物总量措施。</w:t>
      </w:r>
    </w:p>
    <w:p>
      <w:pPr>
        <w:pStyle w:val="19"/>
        <w:bidi w:val="0"/>
        <w:rPr>
          <w:color w:val="auto"/>
          <w:highlight w:val="none"/>
        </w:rPr>
      </w:pPr>
      <w:r>
        <w:rPr>
          <w:rFonts w:hint="eastAsia"/>
          <w:color w:val="auto"/>
          <w:highlight w:val="none"/>
          <w:lang w:val="en-US" w:eastAsia="zh-CN"/>
        </w:rPr>
        <w:t>2.2.2</w:t>
      </w:r>
      <w:r>
        <w:rPr>
          <w:rFonts w:hint="eastAsia"/>
          <w:color w:val="auto"/>
          <w:highlight w:val="none"/>
        </w:rPr>
        <w:t>防护距离控制及居民搬迁</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本项目位于鞍钢厂区北部泄洪口，新建泵站建于原28水站旧址西南侧，项目西侧为空地，东侧和南侧为北大沟污水处理厂，北侧隔鞍钢北厂界为沙河</w:t>
      </w:r>
      <w:r>
        <w:rPr>
          <w:rFonts w:hint="eastAsia"/>
          <w:color w:val="auto"/>
          <w:highlight w:val="none"/>
          <w:lang w:eastAsia="zh-CN"/>
        </w:rPr>
        <w:t>。</w:t>
      </w:r>
      <w:r>
        <w:rPr>
          <w:rFonts w:hint="eastAsia"/>
          <w:color w:val="auto"/>
          <w:highlight w:val="none"/>
          <w:lang w:val="en-US" w:eastAsia="zh-CN"/>
        </w:rPr>
        <w:t>没有居民搬迁问题。</w:t>
      </w:r>
    </w:p>
    <w:p>
      <w:pPr>
        <w:pStyle w:val="15"/>
        <w:bidi w:val="0"/>
        <w:rPr>
          <w:color w:val="auto"/>
          <w:highlight w:val="none"/>
        </w:rPr>
      </w:pPr>
      <w:r>
        <w:rPr>
          <w:rFonts w:hint="eastAsia"/>
          <w:color w:val="auto"/>
          <w:highlight w:val="none"/>
        </w:rPr>
        <w:t>2.3其他措施落实情况</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color w:val="auto"/>
          <w:sz w:val="21"/>
          <w:szCs w:val="21"/>
          <w:highlight w:val="none"/>
        </w:rPr>
      </w:pPr>
      <w:r>
        <w:rPr>
          <w:rFonts w:hint="eastAsia"/>
          <w:color w:val="auto"/>
          <w:highlight w:val="none"/>
          <w:lang w:val="en-US" w:eastAsia="zh-CN"/>
        </w:rPr>
        <w:t>本项目</w:t>
      </w:r>
      <w:r>
        <w:rPr>
          <w:rFonts w:hint="default" w:ascii="Times New Roman" w:hAnsi="Times New Roman" w:cs="Times New Roman"/>
          <w:color w:val="auto"/>
          <w:kern w:val="0"/>
          <w:sz w:val="24"/>
          <w:szCs w:val="24"/>
          <w:highlight w:val="none"/>
          <w:lang w:val="en-US" w:eastAsia="zh-CN" w:bidi="ar"/>
        </w:rPr>
        <w:t>周围无自然保护区、水源地、文物古迹等环境敏感区</w:t>
      </w:r>
      <w:r>
        <w:rPr>
          <w:rFonts w:hint="eastAsia" w:ascii="Times New Roman" w:hAnsi="Times New Roman" w:cs="Times New Roman"/>
          <w:color w:val="auto"/>
          <w:kern w:val="0"/>
          <w:sz w:val="24"/>
          <w:szCs w:val="24"/>
          <w:highlight w:val="none"/>
          <w:lang w:val="en-US" w:eastAsia="zh-CN" w:bidi="ar"/>
        </w:rPr>
        <w:t>。</w:t>
      </w:r>
    </w:p>
    <w:p>
      <w:pPr>
        <w:pStyle w:val="18"/>
        <w:bidi w:val="0"/>
        <w:rPr>
          <w:rFonts w:ascii="宋体" w:hAnsi="宋体"/>
          <w:b/>
          <w:bCs w:val="0"/>
          <w:color w:val="auto"/>
          <w:szCs w:val="21"/>
          <w:highlight w:val="none"/>
        </w:rPr>
      </w:pPr>
      <w:bookmarkStart w:id="5" w:name="_Toc30871"/>
      <w:bookmarkStart w:id="6" w:name="_Toc19240"/>
      <w:r>
        <w:rPr>
          <w:rFonts w:hint="eastAsia" w:ascii="宋体" w:hAnsi="宋体"/>
          <w:b/>
          <w:bCs w:val="0"/>
          <w:color w:val="auto"/>
          <w:szCs w:val="21"/>
          <w:highlight w:val="none"/>
          <w:lang w:val="en-US" w:eastAsia="zh-CN"/>
        </w:rPr>
        <w:t>三、</w:t>
      </w:r>
      <w:r>
        <w:rPr>
          <w:rFonts w:hint="eastAsia" w:ascii="宋体" w:hAnsi="宋体"/>
          <w:b/>
          <w:bCs w:val="0"/>
          <w:color w:val="auto"/>
          <w:szCs w:val="21"/>
          <w:highlight w:val="none"/>
        </w:rPr>
        <w:t>整改</w:t>
      </w:r>
      <w:r>
        <w:rPr>
          <w:rStyle w:val="20"/>
          <w:rFonts w:hint="eastAsia"/>
          <w:color w:val="auto"/>
          <w:highlight w:val="none"/>
        </w:rPr>
        <w:t>工作</w:t>
      </w:r>
      <w:r>
        <w:rPr>
          <w:rFonts w:hint="eastAsia" w:ascii="宋体" w:hAnsi="宋体"/>
          <w:b/>
          <w:bCs w:val="0"/>
          <w:color w:val="auto"/>
          <w:szCs w:val="21"/>
          <w:highlight w:val="none"/>
        </w:rPr>
        <w:t>情况</w:t>
      </w:r>
      <w:bookmarkEnd w:id="5"/>
      <w:bookmarkEnd w:id="6"/>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在召开验收技术评审过程中，技术专家按相关标准要求对验收监测报告提出需要补充的监测内容及其他修改的意见，项目验收监测承担单位按技术专家提出的意见进行了整改，形成了最终的验收监测报告，经验收组再次确认后，满足验收要求，同意通过验收。</w:t>
      </w:r>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ind w:right="960" w:rightChars="400" w:firstLine="0" w:firstLineChars="0"/>
        <w:jc w:val="right"/>
        <w:textAlignment w:val="auto"/>
        <w:rPr>
          <w:rFonts w:hint="default"/>
          <w:color w:val="auto"/>
          <w:highlight w:val="none"/>
        </w:rPr>
      </w:pPr>
      <w:r>
        <w:rPr>
          <w:rFonts w:hint="eastAsia"/>
          <w:color w:val="auto"/>
          <w:highlight w:val="none"/>
          <w:lang w:val="en-US" w:eastAsia="zh-CN"/>
        </w:rPr>
        <w:t>二零二零</w:t>
      </w:r>
      <w:r>
        <w:rPr>
          <w:rFonts w:hint="default"/>
          <w:color w:val="auto"/>
          <w:highlight w:val="none"/>
        </w:rPr>
        <w:t>年</w:t>
      </w:r>
      <w:r>
        <w:rPr>
          <w:rFonts w:hint="eastAsia"/>
          <w:color w:val="auto"/>
          <w:highlight w:val="none"/>
          <w:lang w:val="en-US" w:eastAsia="zh-CN"/>
        </w:rPr>
        <w:t>十一</w:t>
      </w:r>
      <w:r>
        <w:rPr>
          <w:rFonts w:hint="default"/>
          <w:color w:val="auto"/>
          <w:highlight w:val="none"/>
        </w:rPr>
        <w:t>月</w:t>
      </w:r>
      <w:r>
        <w:rPr>
          <w:rFonts w:hint="eastAsia"/>
          <w:color w:val="auto"/>
          <w:highlight w:val="none"/>
          <w:lang w:val="en-US" w:eastAsia="zh-CN"/>
        </w:rPr>
        <w:t>十二</w:t>
      </w:r>
      <w:r>
        <w:rPr>
          <w:rFonts w:hint="default"/>
          <w:color w:val="auto"/>
          <w:highlight w:val="none"/>
          <w:lang w:val="en-US" w:eastAsia="zh-CN"/>
        </w:rPr>
        <w:t>日</w:t>
      </w:r>
    </w:p>
    <w:bookmarkEnd w:id="0"/>
    <w:p/>
    <w:sectPr>
      <w:headerReference r:id="rId3" w:type="default"/>
      <w:footerReference r:id="rId4" w:type="default"/>
      <w:pgSz w:w="11906" w:h="16838"/>
      <w:pgMar w:top="1440"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after="0" w:afterLines="0"/>
      <w:rPr>
        <w:rFonts w:hint="eastAsia" w:ascii="宋体" w:hAnsi="宋体" w:eastAsia="宋体"/>
        <w:sz w:val="28"/>
        <w:szCs w:val="28"/>
      </w:rPr>
    </w:pPr>
    <w:bookmarkStart w:id="7" w:name="_GoBack"/>
    <w:bookmarkEnd w:id="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eastAsia="宋体"/>
        <w:lang w:val="en-US" w:eastAsia="zh-CN"/>
      </w:rPr>
    </w:pPr>
    <w:r>
      <w:rPr>
        <w:rFonts w:hint="eastAsia" w:eastAsia="宋体"/>
      </w:rPr>
      <w:t>第</w:t>
    </w:r>
    <w:r>
      <w:rPr>
        <w:rFonts w:hint="eastAsia" w:eastAsia="宋体"/>
        <w:lang w:val="en-US" w:eastAsia="zh-CN"/>
      </w:rPr>
      <w:t>三</w:t>
    </w:r>
    <w:r>
      <w:rPr>
        <w:rFonts w:hint="eastAsia" w:eastAsia="宋体"/>
      </w:rPr>
      <w:t xml:space="preserve">部分 </w:t>
    </w:r>
    <w:r>
      <w:rPr>
        <w:rFonts w:hint="eastAsia"/>
      </w:rPr>
      <w:t>鞍钢股份</w:t>
    </w:r>
    <w:r>
      <w:rPr>
        <w:rFonts w:hint="eastAsia"/>
        <w:lang w:val="en-US" w:eastAsia="zh-CN"/>
      </w:rPr>
      <w:t>公司鞍钢能源管控中心</w:t>
    </w:r>
    <w:r>
      <w:rPr>
        <w:rFonts w:hint="eastAsia" w:ascii="宋体" w:hAnsi="宋体" w:eastAsia="宋体" w:cs="宋体"/>
        <w:lang w:val="en-US" w:eastAsia="zh-CN"/>
      </w:rPr>
      <w:t>28</w:t>
    </w:r>
    <w:r>
      <w:rPr>
        <w:rFonts w:hint="eastAsia"/>
        <w:lang w:val="en-US" w:eastAsia="zh-CN"/>
      </w:rPr>
      <w:t>水站增容改造工程</w:t>
    </w:r>
    <w:r>
      <w:rPr>
        <w:rFonts w:hint="eastAsia" w:eastAsia="宋体"/>
        <w:lang w:val="en-US" w:eastAsia="zh-CN"/>
      </w:rPr>
      <w:t>其他需要说明的事项</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346D9"/>
    <w:rsid w:val="0D014547"/>
    <w:rsid w:val="228B38D7"/>
    <w:rsid w:val="33203E16"/>
    <w:rsid w:val="5A41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adjustRightInd w:val="0"/>
      <w:snapToGrid w:val="0"/>
      <w:spacing w:afterLines="0" w:line="300" w:lineRule="auto"/>
      <w:ind w:firstLine="0" w:firstLineChars="0"/>
    </w:pPr>
    <w:rPr>
      <w:rFonts w:ascii="Times New Roman" w:hAnsi="Times New Roman" w:eastAsia="宋体" w:cs="Times New Roman"/>
      <w:sz w:val="24"/>
      <w:szCs w:val="22"/>
      <w:lang w:val="en-US" w:eastAsia="zh-CN" w:bidi="ar-SA"/>
    </w:rPr>
  </w:style>
  <w:style w:type="paragraph" w:styleId="7">
    <w:name w:val="heading 1"/>
    <w:basedOn w:val="1"/>
    <w:next w:val="1"/>
    <w:qFormat/>
    <w:uiPriority w:val="0"/>
    <w:pPr>
      <w:keepNext/>
      <w:keepLines/>
      <w:snapToGrid w:val="0"/>
      <w:spacing w:beforeLines="0" w:beforeAutospacing="0" w:afterLines="0" w:afterAutospacing="0" w:line="240" w:lineRule="auto"/>
      <w:ind w:left="0" w:leftChars="0" w:rightChars="0" w:firstLine="0" w:firstLineChars="0"/>
      <w:outlineLvl w:val="0"/>
    </w:pPr>
    <w:rPr>
      <w:rFonts w:ascii="Arial" w:hAnsi="Arial"/>
      <w:b/>
      <w:kern w:val="44"/>
      <w:sz w:val="30"/>
    </w:rPr>
  </w:style>
  <w:style w:type="paragraph" w:styleId="8">
    <w:name w:val="heading 2"/>
    <w:basedOn w:val="1"/>
    <w:next w:val="1"/>
    <w:qFormat/>
    <w:uiPriority w:val="0"/>
    <w:pPr>
      <w:keepNext/>
      <w:keepLines/>
      <w:widowControl w:val="0"/>
      <w:adjustRightInd/>
      <w:snapToGrid/>
      <w:spacing w:after="0" w:afterLines="0" w:line="300" w:lineRule="auto"/>
      <w:ind w:firstLine="0" w:firstLineChars="0"/>
      <w:jc w:val="left"/>
      <w:outlineLvl w:val="1"/>
    </w:pPr>
    <w:rPr>
      <w:rFonts w:ascii="Times New Roman" w:hAnsi="Times New Roman"/>
      <w:b/>
      <w:bCs/>
      <w:kern w:val="2"/>
      <w:sz w:val="28"/>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1040" w:firstLineChars="200"/>
    </w:pPr>
    <w:rPr>
      <w:rFonts w:ascii="Times New Roman" w:hAnsi="Times New Roman" w:eastAsia="宋体"/>
      <w:sz w:val="24"/>
    </w:rPr>
  </w:style>
  <w:style w:type="paragraph" w:styleId="3">
    <w:name w:val="Body Text Indent"/>
    <w:basedOn w:val="1"/>
    <w:next w:val="4"/>
    <w:qFormat/>
    <w:uiPriority w:val="99"/>
    <w:pPr>
      <w:spacing w:after="120"/>
      <w:ind w:left="420" w:leftChars="200"/>
    </w:p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5">
    <w:name w:val="样式5"/>
    <w:basedOn w:val="6"/>
    <w:qFormat/>
    <w:uiPriority w:val="0"/>
    <w:pPr>
      <w:tabs>
        <w:tab w:val="center" w:pos="4153"/>
        <w:tab w:val="right" w:pos="8306"/>
      </w:tabs>
      <w:jc w:val="center"/>
    </w:pPr>
    <w:rPr>
      <w:spacing w:val="8"/>
      <w:sz w:val="24"/>
      <w:szCs w:val="24"/>
    </w:rPr>
  </w:style>
  <w:style w:type="paragraph" w:styleId="6">
    <w:name w:val="Normal Indent"/>
    <w:basedOn w:val="1"/>
    <w:next w:val="1"/>
    <w:qFormat/>
    <w:uiPriority w:val="0"/>
    <w:pPr>
      <w:ind w:firstLine="420"/>
    </w:pPr>
    <w:rPr>
      <w:szCs w:val="20"/>
    </w:rPr>
  </w:style>
  <w:style w:type="paragraph" w:styleId="9">
    <w:name w:val="footer"/>
    <w:basedOn w:val="1"/>
    <w:next w:val="1"/>
    <w:qFormat/>
    <w:uiPriority w:val="0"/>
    <w:pPr>
      <w:tabs>
        <w:tab w:val="center" w:pos="4153"/>
        <w:tab w:val="right" w:pos="8306"/>
      </w:tabs>
    </w:pPr>
    <w:rPr>
      <w:sz w:val="18"/>
      <w:szCs w:val="18"/>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内容"/>
    <w:basedOn w:val="1"/>
    <w:next w:val="1"/>
    <w:link w:val="16"/>
    <w:qFormat/>
    <w:uiPriority w:val="0"/>
    <w:rPr>
      <w:rFonts w:ascii="Times New Roman" w:hAnsi="Times New Roman"/>
    </w:rPr>
  </w:style>
  <w:style w:type="paragraph" w:customStyle="1" w:styleId="14">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5">
    <w:name w:val="第二、三部分标2"/>
    <w:basedOn w:val="8"/>
    <w:next w:val="8"/>
    <w:link w:val="20"/>
    <w:uiPriority w:val="0"/>
    <w:pPr>
      <w:spacing w:line="360" w:lineRule="auto"/>
    </w:pPr>
    <w:rPr>
      <w:rFonts w:ascii="Times New Roman" w:hAnsi="Times New Roman"/>
      <w:sz w:val="28"/>
    </w:rPr>
  </w:style>
  <w:style w:type="character" w:customStyle="1" w:styleId="16">
    <w:name w:val="内容 Char"/>
    <w:link w:val="13"/>
    <w:qFormat/>
    <w:uiPriority w:val="0"/>
    <w:rPr>
      <w:rFonts w:ascii="Times New Roman" w:hAnsi="Times New Roman"/>
    </w:rPr>
  </w:style>
  <w:style w:type="character" w:customStyle="1" w:styleId="17">
    <w:name w:val="page number"/>
    <w:basedOn w:val="12"/>
    <w:qFormat/>
    <w:uiPriority w:val="0"/>
  </w:style>
  <w:style w:type="paragraph" w:customStyle="1" w:styleId="18">
    <w:name w:val="第二、三部分标1"/>
    <w:basedOn w:val="7"/>
    <w:next w:val="1"/>
    <w:qFormat/>
    <w:uiPriority w:val="0"/>
    <w:pPr>
      <w:spacing w:before="50" w:beforeLines="50" w:line="360" w:lineRule="auto"/>
      <w:ind w:firstLine="0" w:firstLineChars="0"/>
    </w:pPr>
    <w:rPr>
      <w:sz w:val="28"/>
    </w:rPr>
  </w:style>
  <w:style w:type="paragraph" w:customStyle="1" w:styleId="19">
    <w:name w:val="第二、三部分标3"/>
    <w:basedOn w:val="8"/>
    <w:next w:val="1"/>
    <w:qFormat/>
    <w:uiPriority w:val="0"/>
    <w:pPr>
      <w:spacing w:line="360" w:lineRule="auto"/>
      <w:ind w:firstLine="961" w:firstLineChars="200"/>
    </w:pPr>
    <w:rPr>
      <w:rFonts w:ascii="Times New Roman" w:hAnsi="Times New Roman"/>
      <w:sz w:val="24"/>
    </w:rPr>
  </w:style>
  <w:style w:type="character" w:customStyle="1" w:styleId="20">
    <w:name w:val="第三部分标2 Char"/>
    <w:link w:val="15"/>
    <w:uiPriority w:val="0"/>
    <w:rPr>
      <w:rFonts w:ascii="Times New Roman" w:hAnsi="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2020-09-17T07:21:00Z</dcterms:created>
  <dc:creator>Administrator</dc:creator>
  <cp:lastModifiedBy>Administrator</cp:lastModifiedBy>
  <dcterms:modified xsi:type="dcterms:W3CDTF">2020-11-20T06:12:13Z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